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13599" w14:textId="23DE71E7" w:rsidR="008D4A53" w:rsidRDefault="00817E43">
      <w:pPr>
        <w:pStyle w:val="Title"/>
      </w:pPr>
      <w:r>
        <w:rPr>
          <w:color w:val="B0006D"/>
        </w:rPr>
        <w:t>Datganiad Caethwasiaeth Fodern</w:t>
      </w:r>
      <w:r w:rsidR="00000000">
        <w:rPr>
          <w:color w:val="B0006D"/>
          <w:spacing w:val="-6"/>
        </w:rPr>
        <w:t xml:space="preserve"> </w:t>
      </w:r>
      <w:r w:rsidR="00000000">
        <w:rPr>
          <w:color w:val="B0006D"/>
        </w:rPr>
        <w:t>2024-</w:t>
      </w:r>
      <w:r w:rsidR="00000000">
        <w:rPr>
          <w:color w:val="B0006D"/>
          <w:spacing w:val="-5"/>
        </w:rPr>
        <w:t>25</w:t>
      </w:r>
    </w:p>
    <w:p w14:paraId="68520D37" w14:textId="538B69AC" w:rsidR="008D4A53" w:rsidRDefault="00221076">
      <w:pPr>
        <w:pStyle w:val="Heading1"/>
        <w:numPr>
          <w:ilvl w:val="0"/>
          <w:numId w:val="2"/>
        </w:numPr>
        <w:tabs>
          <w:tab w:val="left" w:pos="450"/>
        </w:tabs>
        <w:spacing w:before="248"/>
        <w:ind w:hanging="427"/>
      </w:pPr>
      <w:r>
        <w:rPr>
          <w:color w:val="B0006D"/>
          <w:spacing w:val="-2"/>
        </w:rPr>
        <w:t>Cyflwyniad</w:t>
      </w:r>
    </w:p>
    <w:p w14:paraId="2ED1E0B5" w14:textId="1E78AEC2" w:rsidR="008D4A53" w:rsidRDefault="00221076">
      <w:pPr>
        <w:pStyle w:val="BodyText"/>
        <w:spacing w:before="251"/>
        <w:ind w:left="450" w:right="15"/>
      </w:pPr>
      <w:r>
        <w:t>Mae’r Datganiad hwn yn nodi’r camau a gymerwyd gan y Bwrdd Hyfforddi’r Diwydiant Adeiladu (CITB) mewn perthynas â’i gyfrifoldebau o dan adran 54, rhan 6 o Ddeddf Caethwasiaeth Fodern 2015 (MSA); ac mae’n cynnwys y gweithgareddau a gyflawnwyd yn ystod y deuddeg mis diwethaf a’r rhai sydd wedi’u cynllunio ar gyfer y flwyddyn i ddod. Mae’r Datganiad hwn yn ymwneud â’r flwyddyn ariannol sy’n dod i ben ar 31 Mawrth 2025.</w:t>
      </w:r>
    </w:p>
    <w:p w14:paraId="44A63E8B" w14:textId="77777777" w:rsidR="008D4A53" w:rsidRDefault="008D4A53">
      <w:pPr>
        <w:pStyle w:val="BodyText"/>
        <w:spacing w:before="1"/>
        <w:jc w:val="left"/>
      </w:pPr>
    </w:p>
    <w:p w14:paraId="38BA3C94" w14:textId="085077F1" w:rsidR="008D4A53" w:rsidRDefault="00585C07">
      <w:pPr>
        <w:pStyle w:val="Heading1"/>
        <w:numPr>
          <w:ilvl w:val="0"/>
          <w:numId w:val="2"/>
        </w:numPr>
        <w:tabs>
          <w:tab w:val="left" w:pos="450"/>
        </w:tabs>
        <w:ind w:hanging="427"/>
      </w:pPr>
      <w:r>
        <w:rPr>
          <w:color w:val="B0006D"/>
        </w:rPr>
        <w:t>Strwythur sefydliadol, busnes a chadwyni cyflenwi</w:t>
      </w:r>
    </w:p>
    <w:p w14:paraId="5BB2CAB0" w14:textId="77777777" w:rsidR="008D4A53" w:rsidRDefault="008D4A53">
      <w:pPr>
        <w:pStyle w:val="BodyText"/>
        <w:jc w:val="left"/>
        <w:rPr>
          <w:rFonts w:ascii="Arial"/>
          <w:b/>
        </w:rPr>
      </w:pPr>
    </w:p>
    <w:p w14:paraId="7516A25E" w14:textId="1BEE1E94" w:rsidR="008D4A53" w:rsidRDefault="007D296E">
      <w:pPr>
        <w:pStyle w:val="BodyText"/>
        <w:spacing w:before="1"/>
        <w:ind w:left="450" w:right="17"/>
      </w:pPr>
      <w:r>
        <w:t>Mae CITB yn Fwrdd Hyfforddi’r Diwydiant ar gyfer Adeiladu ac yn un o ddau Fwrdd Hyfforddi’r Diwydiant sy’n weddill a sefydlwyd o da</w:t>
      </w:r>
      <w:r w:rsidR="00590939">
        <w:t>n</w:t>
      </w:r>
      <w:r>
        <w:t xml:space="preserve"> Ddeddf Hyfforddi’r Diwydiant 1964. Diben statudol CITB yw: “I </w:t>
      </w:r>
      <w:r w:rsidR="000630C0">
        <w:t>wneud darpariaeth well</w:t>
      </w:r>
      <w:r w:rsidR="00185B7E">
        <w:t xml:space="preserve"> ar gyfer hyfforddi pobl dros oed ysgol orfodol ar gyfer cyflogaeth mewn unrhyw weithgareddau’r diwydiant.”</w:t>
      </w:r>
      <w:r>
        <w:t xml:space="preserve"> </w:t>
      </w:r>
    </w:p>
    <w:p w14:paraId="005FE797" w14:textId="77777777" w:rsidR="008D4A53" w:rsidRDefault="008D4A53">
      <w:pPr>
        <w:pStyle w:val="BodyText"/>
        <w:jc w:val="left"/>
      </w:pPr>
    </w:p>
    <w:p w14:paraId="7A442DA5" w14:textId="4C71DD36" w:rsidR="008D4A53" w:rsidRDefault="00185B7E">
      <w:pPr>
        <w:pStyle w:val="BodyText"/>
        <w:ind w:left="450" w:right="19"/>
      </w:pPr>
      <w:r>
        <w:t>Mae CITB yn cael ei ariannu gan lefi statudol ar gyflogwyr cymwys sy’n gweithredu yn y diwydiant adeiladu, a’i ddiben strategol yw: “I gefnogi’r diwydiant adeiladu i gael gweithlu medrus, cymwys a chynhwysol, nawr ac yn y dyfodol.”</w:t>
      </w:r>
    </w:p>
    <w:p w14:paraId="36CB9E8A" w14:textId="77777777" w:rsidR="00185B7E" w:rsidRDefault="00185B7E">
      <w:pPr>
        <w:pStyle w:val="BodyText"/>
        <w:ind w:left="450" w:right="19"/>
      </w:pPr>
    </w:p>
    <w:p w14:paraId="4A163A6F" w14:textId="1DE7D69B" w:rsidR="00185B7E" w:rsidRDefault="00185B7E" w:rsidP="00185B7E">
      <w:pPr>
        <w:pStyle w:val="BodyText"/>
        <w:spacing w:before="1" w:line="276" w:lineRule="auto"/>
        <w:ind w:left="450" w:right="16"/>
      </w:pPr>
      <w:r>
        <w:t>Mae</w:t>
      </w:r>
      <w:r>
        <w:t xml:space="preserve"> </w:t>
      </w:r>
      <w:r>
        <w:t>CITB wedi’i gofrestru fel elusen yn Lloegr a Chymru (Rhif Cofrestru 264289) ac yn yr Alban (Rhif Cofrestru SCO44875) gyda’i brif swyddfa yn Peterborough, Swydd Gaergrawnt. Mae’n darparu gwasanaethau hyfforddi o dri safle sy’n cynnwys y Coleg Cenedlaethol Adeiladu (NCC), yn Bircham Newton, Norfolk; Erith, Llundain; ac Inchinnan, Glasgow; a</w:t>
      </w:r>
      <w:r w:rsidR="00590939">
        <w:t xml:space="preserve"> th</w:t>
      </w:r>
      <w:r>
        <w:t>rwy wasanaethau comisiwn trwy golegau sector cyhoeddus a darparwyr hyfforddiant sector preifat.</w:t>
      </w:r>
    </w:p>
    <w:p w14:paraId="51CC7E6D" w14:textId="77777777" w:rsidR="00185B7E" w:rsidRDefault="00185B7E" w:rsidP="00185B7E">
      <w:pPr>
        <w:pStyle w:val="BodyText"/>
        <w:spacing w:before="1" w:line="276" w:lineRule="auto"/>
        <w:ind w:left="450" w:right="16"/>
      </w:pPr>
    </w:p>
    <w:p w14:paraId="2D1B0E17" w14:textId="1A2464DD" w:rsidR="00185B7E" w:rsidRDefault="00185B7E" w:rsidP="00185B7E">
      <w:pPr>
        <w:pStyle w:val="BodyText"/>
        <w:spacing w:before="1" w:line="276" w:lineRule="auto"/>
        <w:ind w:left="450" w:right="16"/>
      </w:pPr>
      <w:r>
        <w:t xml:space="preserve">Mae CITB hefyd wedi’i ddosbarthu fel Corff Cyhoeddus Anadrannol (NDPB) ac yn Gorff </w:t>
      </w:r>
      <w:r w:rsidR="00590939">
        <w:t>Hyd Fraich</w:t>
      </w:r>
      <w:r>
        <w:t xml:space="preserve"> (ALB) o’r Adran Addysg (DfE). Mae CITB wedi cytuno gyda’r DfE i barhau i gyhoeddi ei Ddatganiad Caethwasiaeth Fodern </w:t>
      </w:r>
      <w:r w:rsidR="00590939">
        <w:t>f</w:t>
      </w:r>
      <w:r>
        <w:t>lynyddol ei hun yn hytrach na chael ei gynnwys yn y Datganiad Gweinidogol a gyhoeddir ar gyfer y DfE.</w:t>
      </w:r>
    </w:p>
    <w:p w14:paraId="01F850D1" w14:textId="77777777" w:rsidR="00185B7E" w:rsidRDefault="00185B7E" w:rsidP="00185B7E">
      <w:pPr>
        <w:pStyle w:val="BodyText"/>
        <w:spacing w:before="1" w:line="276" w:lineRule="auto"/>
        <w:ind w:left="450" w:right="16"/>
      </w:pPr>
    </w:p>
    <w:p w14:paraId="390DF816" w14:textId="4F28A740" w:rsidR="00185B7E" w:rsidRDefault="00185B7E" w:rsidP="00185B7E">
      <w:pPr>
        <w:pStyle w:val="BodyText"/>
        <w:spacing w:before="1" w:line="276" w:lineRule="auto"/>
        <w:ind w:left="450" w:right="16"/>
      </w:pPr>
      <w:r>
        <w:t>Mae gan CITB tua 260 o gontractau gweithredol, gyda gwariant blynyddol o £55m gyda’r pum gwariant uchaf yn 2024–25 yn cynnwys ein trefniant partneriaeth galluogi ar gyfer gwasanaethau busnes a chorfforaethol, darpariaeth canolfannau profi Iechyd, Diogelwch ac Amgylcheddol, llety i brentisiaid, arlwyo, glanhau a gwasanaethau diogelwch, ac argraffu. Mae’r rhan fwyaf o’n cyflenwyr Haen 1 wedi’u cofrestru yn y DU ond mae llawer o’u gweithrediadau a’u cadwyni cyflenwi yn fyd-eang. Fodd bynnag, nid oes gennym welededd cyffredinol o leoliadau cadwyn cyflenwi Haen 2, heblaw am y rhai yn ein categorïau risg canolig ac uchel.</w:t>
      </w:r>
    </w:p>
    <w:p w14:paraId="7633CD1B" w14:textId="77777777" w:rsidR="00185B7E" w:rsidRDefault="00185B7E" w:rsidP="00185B7E">
      <w:pPr>
        <w:pStyle w:val="BodyText"/>
        <w:spacing w:before="1" w:line="276" w:lineRule="auto"/>
        <w:ind w:left="450" w:right="16"/>
      </w:pPr>
    </w:p>
    <w:p w14:paraId="14556311" w14:textId="1C915BAA" w:rsidR="002F2BBD" w:rsidRDefault="002F2BBD">
      <w:pPr>
        <w:pStyle w:val="BodyText"/>
        <w:spacing w:before="200"/>
        <w:ind w:left="450" w:right="16"/>
      </w:pPr>
      <w:r w:rsidRPr="002F2BBD">
        <w:t>Mae Tîm Masnachol a Chontractau CITB yn gweithio gyda’i bartner galluogi allanol, Shared Services Connected Limited (</w:t>
      </w:r>
      <w:r>
        <w:t xml:space="preserve">sy’n </w:t>
      </w:r>
      <w:r w:rsidRPr="002F2BBD">
        <w:t xml:space="preserve">masnachu fel SSCL) – darparwr blaenllaw o wasanaethau cymorth hanfodol i’r Llywodraeth a’r sector cyhoeddus yn y DU – i gaffael nwyddau a gwasanaethau. Gyda’i gilydd, maent yn sicrhau bod yr holl ofynion perthnasol, fel y nodir mewn Nodyn Caffael Cyhoeddus (PPN), megis PPN 009 wedi’i ddiweddaru – Canllawiau ar fynd i’r afael â chaethwasiaeth fodern mewn cadwyni cyflenwi’r llywodraeth, a PPN 002 – Ystyried gwerth cymdeithasol wrth ddyfarnu contractau llywodraeth ganolog, sy’n cynnwys mynd i’r afael ag anghydraddoldeb </w:t>
      </w:r>
      <w:r w:rsidRPr="002F2BBD">
        <w:lastRenderedPageBreak/>
        <w:t xml:space="preserve">gweithlu a mynd i’r afael â Chaethwasiaeth Fodern, yn cael eu cymhwyso’n briodol. Cafodd unrhyw newidiadau oherwydd Deddf Caffael </w:t>
      </w:r>
      <w:r w:rsidR="00590939">
        <w:t>G</w:t>
      </w:r>
      <w:r w:rsidRPr="002F2BBD">
        <w:t>yhoeddus newydd 2023 a gofynion Trawsnewid Caffael Cyhoeddus (TPP) eu gweithredu o Hydref 2024. Mae Tîm Masnachol a Chontractau CITB wedi cryfhau gofynion caethwasiaeth fodern mewn dogfennau tendro a chontractau ac wedi datblygu cyfres o gwestiynau model gwerth cymdeithasol perthnasol sy’n orfodol i’w cynnwys ar bob caffael uwch</w:t>
      </w:r>
      <w:r w:rsidR="00590939">
        <w:t>b</w:t>
      </w:r>
      <w:r w:rsidRPr="002F2BBD">
        <w:t>en o 1 Hydref 2025. Er mwyn cryfhau goruchwyliaeth a gwella rheolaeth weithredol, bydd CITB yn dod â’r gwasanaethau a ddarperir ar hyn o bryd gan SSCL yn fewnol erbyn diwedd Medi 2026.</w:t>
      </w:r>
    </w:p>
    <w:p w14:paraId="4A8D3F6F" w14:textId="599263A0" w:rsidR="008D4A53" w:rsidRDefault="002F2BBD">
      <w:pPr>
        <w:pStyle w:val="BodyText"/>
        <w:spacing w:before="200"/>
        <w:ind w:left="450" w:right="16"/>
      </w:pPr>
      <w:r>
        <w:t xml:space="preserve">Cyfanswm gwariant CITB yn 2024-25 oedd £296m, ac roedd yn cyflogi cyfartaledd o 861 o weithwyr (844 wedi’u cyflogi’n uniongyrchol a 17 dros dro) ar draws </w:t>
      </w:r>
      <w:r w:rsidR="006E51F3">
        <w:t>Pr</w:t>
      </w:r>
      <w:r>
        <w:t>ydain Fawr dros y cyfnod adrodd.</w:t>
      </w:r>
    </w:p>
    <w:p w14:paraId="27C75E0B" w14:textId="77777777" w:rsidR="008D4A53" w:rsidRDefault="008D4A53">
      <w:pPr>
        <w:pStyle w:val="BodyText"/>
        <w:jc w:val="left"/>
      </w:pPr>
    </w:p>
    <w:p w14:paraId="372B1228" w14:textId="62CD59E8" w:rsidR="002F2BBD" w:rsidRPr="002F2BBD" w:rsidRDefault="002F2BBD" w:rsidP="002F2BBD">
      <w:pPr>
        <w:pStyle w:val="Heading1"/>
        <w:tabs>
          <w:tab w:val="left" w:pos="450"/>
        </w:tabs>
        <w:spacing w:before="251"/>
        <w:ind w:firstLine="0"/>
        <w:rPr>
          <w:rFonts w:ascii="Arial MT" w:eastAsia="Arial MT" w:hAnsi="Arial MT" w:cs="Arial MT"/>
          <w:b w:val="0"/>
          <w:bCs w:val="0"/>
        </w:rPr>
      </w:pPr>
      <w:r w:rsidRPr="002F2BBD">
        <w:rPr>
          <w:rFonts w:ascii="Arial MT" w:eastAsia="Arial MT" w:hAnsi="Arial MT" w:cs="Arial MT"/>
          <w:b w:val="0"/>
          <w:bCs w:val="0"/>
        </w:rPr>
        <w:t>Mae gan CITB nifer uchel o weithwyr symudol, ynghyd â’r rhai sy’n gweithio yn y Brif Swyddfa a’r Coleg Cenedlaethol Adeiladu (NCC), ac mae unrhyw staff dros dro sydd eu hangen drwy gydol y flwyddyn yn cael eu recriwtio drwy Capita neu Brook Street, y ddau wedi’u cyrchu drwy fframwaith caffael cymeradwy gan y Llywodraeth.</w:t>
      </w:r>
    </w:p>
    <w:p w14:paraId="443C14EE" w14:textId="271CE03F" w:rsidR="002F2BBD" w:rsidRPr="002F2BBD" w:rsidRDefault="002F2BBD" w:rsidP="002F2BBD">
      <w:pPr>
        <w:pStyle w:val="Heading1"/>
        <w:tabs>
          <w:tab w:val="left" w:pos="450"/>
        </w:tabs>
        <w:spacing w:before="251"/>
        <w:ind w:firstLine="0"/>
        <w:rPr>
          <w:rFonts w:ascii="Arial MT" w:eastAsia="Arial MT" w:hAnsi="Arial MT" w:cs="Arial MT"/>
          <w:b w:val="0"/>
          <w:bCs w:val="0"/>
        </w:rPr>
      </w:pPr>
      <w:r w:rsidRPr="002F2BBD">
        <w:rPr>
          <w:rFonts w:ascii="Arial MT" w:eastAsia="Arial MT" w:hAnsi="Arial MT" w:cs="Arial MT"/>
          <w:b w:val="0"/>
          <w:bCs w:val="0"/>
        </w:rPr>
        <w:t>Rheolw</w:t>
      </w:r>
      <w:r>
        <w:rPr>
          <w:rFonts w:ascii="Arial MT" w:eastAsia="Arial MT" w:hAnsi="Arial MT" w:cs="Arial MT"/>
          <w:b w:val="0"/>
          <w:bCs w:val="0"/>
        </w:rPr>
        <w:t>r</w:t>
      </w:r>
      <w:r w:rsidRPr="002F2BBD">
        <w:rPr>
          <w:rFonts w:ascii="Arial MT" w:eastAsia="Arial MT" w:hAnsi="Arial MT" w:cs="Arial MT"/>
          <w:b w:val="0"/>
          <w:bCs w:val="0"/>
        </w:rPr>
        <w:t xml:space="preserve"> Amgylcheddol, Cymdeithasol a Llywodraethu (ESG) CITB yw’r pwynt cyswllt ar gyfer unrhyw ymholiadau caethwasiaeth fodern, ac maent yn adrodd i’r Prif Swyddog Ariannol, sydd â chyfrifoldeb gweithredol dros yr amgylchedd a chynaliadwyedd (gan gynnwys caethwasiaeth fodern).</w:t>
      </w:r>
    </w:p>
    <w:p w14:paraId="6DD9C195" w14:textId="3F3184AD" w:rsidR="002F2BBD" w:rsidRPr="002F2BBD" w:rsidRDefault="002F2BBD" w:rsidP="002F2BBD">
      <w:pPr>
        <w:pStyle w:val="Heading1"/>
        <w:tabs>
          <w:tab w:val="left" w:pos="450"/>
        </w:tabs>
        <w:spacing w:before="251"/>
        <w:ind w:firstLine="0"/>
      </w:pPr>
      <w:r w:rsidRPr="002F2BBD">
        <w:rPr>
          <w:rFonts w:ascii="Arial MT" w:eastAsia="Arial MT" w:hAnsi="Arial MT" w:cs="Arial MT"/>
          <w:b w:val="0"/>
          <w:bCs w:val="0"/>
        </w:rPr>
        <w:t>Y ddau undeb sy’n cynrychioli gweithwyr yn CITB yw Unite a GMB, er bod y mwyafrif sylweddol o weithwyr yn cael eu cynrychioli gan eu rheolwyr. Mae cytundeb ar waith sy’n sefydlu’r egwyddorion cyffredinol a’r dulliau gweithio rhwng y partïon.</w:t>
      </w:r>
    </w:p>
    <w:p w14:paraId="3E383108" w14:textId="1EF56FDA" w:rsidR="008D4A53" w:rsidRDefault="00000000" w:rsidP="002F2BBD">
      <w:pPr>
        <w:pStyle w:val="Heading1"/>
        <w:numPr>
          <w:ilvl w:val="0"/>
          <w:numId w:val="2"/>
        </w:numPr>
        <w:tabs>
          <w:tab w:val="left" w:pos="450"/>
        </w:tabs>
        <w:spacing w:before="251"/>
      </w:pPr>
      <w:r>
        <w:rPr>
          <w:color w:val="B0006D"/>
        </w:rPr>
        <w:t>Poli</w:t>
      </w:r>
      <w:r w:rsidR="000D259C">
        <w:rPr>
          <w:color w:val="B0006D"/>
        </w:rPr>
        <w:t>sïau mewn perthynas â chaethwasiaeth a masnachu pobl</w:t>
      </w:r>
    </w:p>
    <w:p w14:paraId="0CBDD002" w14:textId="77777777" w:rsidR="008D4A53" w:rsidRDefault="008D4A53">
      <w:pPr>
        <w:pStyle w:val="BodyText"/>
        <w:spacing w:before="1"/>
        <w:jc w:val="left"/>
        <w:rPr>
          <w:rFonts w:ascii="Arial"/>
          <w:b/>
        </w:rPr>
      </w:pPr>
    </w:p>
    <w:p w14:paraId="64314216" w14:textId="1DE7588A" w:rsidR="000D259C" w:rsidRDefault="000D259C" w:rsidP="000D259C">
      <w:pPr>
        <w:tabs>
          <w:tab w:val="left" w:pos="875"/>
        </w:tabs>
        <w:spacing w:before="2"/>
        <w:ind w:right="14"/>
        <w:jc w:val="both"/>
      </w:pPr>
      <w:r>
        <w:t>Mae gan CITB nifer o bolisïau sy’n ymwneud â chaethwasiaeth fodern ac sy’n cael eu hadolygu’n gyfnodol, sef:</w:t>
      </w:r>
    </w:p>
    <w:p w14:paraId="50C122C1" w14:textId="0E2E7CED" w:rsidR="000D259C" w:rsidRDefault="000D259C" w:rsidP="000D259C">
      <w:pPr>
        <w:tabs>
          <w:tab w:val="left" w:pos="875"/>
        </w:tabs>
        <w:spacing w:before="2"/>
        <w:ind w:right="14"/>
        <w:jc w:val="both"/>
      </w:pPr>
      <w:r>
        <w:t>• Polisi Caffael a Rheoli Contractau – Mae hwn yn amlinellu dull CITB o gaffael ei anghenion allanol, gan gynnwys cydymffurfiad â rheolau caffael cyhoeddus, trothwyon ariannol ar gyfer gwahanol fathau o gaffael, a’i ddull o ddefnyddio BBaChau a chyflenwyr lleol. Mae hefyd yn cael ei arwain gan ofynion Rheoliadau Contractau Cyhoeddus 2015 a Deddf Caffael 2023, a ddaeth i rym ym mis Chwefror 2025 ac y mae’n rhaid i</w:t>
      </w:r>
      <w:r>
        <w:t xml:space="preserve"> </w:t>
      </w:r>
      <w:r>
        <w:t>CITB gydymffurfio â hwy. Mae’r rhan fwyaf o weithgaredd caffael CITB yn cael ei wneud drwy fframweithiau cymeradwy gan y Llywodraeth (trwy’r Gwasanaeth Masnachol y Goron (CCS), Consortiwm Prynu Prifysgolion Llundain (LUPC), a Sefydliad Prynu Siroedd Dwyreiniol (ESPO)), sydd â rhagofynion ar gyflenwyr i lynu wrth arferion da sy’n ymwneud â chaethwasiaeth fodern. Pan fydd CITB yn contractio’n uniongyrchol, mae ei delerau ac amodau safonol ar gyfer cyflenwyr yn ei gwneud yn ofynnol iddynt gynnal hawliau dynol a llafur ac atal caethwasiaeth fodern a masnachu pobl yn eu gweithrediadau a’u cadwyni cyflenwi eu hunain. Diweddarwyd y Polisi ddiwethaf ym mis Hydref 2024 ac mae’n ymgorffori’r gofynion newydd a nodir yn y rhaglen Trawsnewid Caffael Cyhoeddus.</w:t>
      </w:r>
    </w:p>
    <w:p w14:paraId="3387A93B" w14:textId="77777777" w:rsidR="000D259C" w:rsidRDefault="000D259C" w:rsidP="000D259C">
      <w:pPr>
        <w:tabs>
          <w:tab w:val="left" w:pos="875"/>
        </w:tabs>
        <w:spacing w:before="2"/>
        <w:ind w:right="14"/>
      </w:pPr>
      <w:r>
        <w:t>• Polisi Datgelu Gwarchodedig – ‘Chwythu’r chwiban’ – Mae hwn yn darparu manylion am y dull o adrodd unrhyw bryderon (gan gynnwys rhywun a allai fod mewn perygl o gaethwasiaeth neu fasnachu pobl), sut y bydd y rhain yn cael eu trin, a’r amddiffyniad i’r ‘chwythwyr chwiban’. Diweddarwyd y Polisi ddiwethaf ym mis Chwefror 2024, gyda’r adolygiad nesaf wedi’i gynllunio ar gyfer Chwefror 2026.</w:t>
      </w:r>
    </w:p>
    <w:p w14:paraId="2AF6EB91" w14:textId="77777777" w:rsidR="000D259C" w:rsidRDefault="000D259C" w:rsidP="000D259C">
      <w:pPr>
        <w:pStyle w:val="BodyText"/>
      </w:pPr>
      <w:r>
        <w:t>• Polisi Cyfrifoldeb Cymdeithasol Corfforaethol (CSR) – Bydd hwn yn cael ei ddisodli gan Bolisi Amgylchedd, Cymdeithas a Llywodraethu (ESG) i alinio â blaenoriaethau cynaliadwyedd CITB sy’n cynnwys cydraddoldeb, amrywiaeth, a chynhwysiant, a bydd yn cael ei gyhoeddi ar ôl cyhoeddi ei Strategaeth Cynaliadwyedd newydd yn 2025.</w:t>
      </w:r>
    </w:p>
    <w:p w14:paraId="5DB7D372" w14:textId="741AF60C" w:rsidR="000D259C" w:rsidRDefault="000D259C" w:rsidP="000D259C">
      <w:pPr>
        <w:pStyle w:val="BodyText"/>
      </w:pPr>
      <w:r>
        <w:lastRenderedPageBreak/>
        <w:t>• Polisi Tegwch, Cynhwysiant a P</w:t>
      </w:r>
      <w:r w:rsidR="006E51F3">
        <w:t>h</w:t>
      </w:r>
      <w:r>
        <w:t>arch – Mae hwn yn manylu ar ymrwymiadau a dulliau CITB i sicrhau bod pobl yn cael eu trin yn deg, gyda pharch ac yn sicrhau bod CITB yn lle cynhwysol i weithio. Diweddarwyd y Polisi ddiwethaf ym mis Chwefror 2025.</w:t>
      </w:r>
    </w:p>
    <w:p w14:paraId="703797F9" w14:textId="77777777" w:rsidR="000D259C" w:rsidRDefault="000D259C" w:rsidP="000D259C">
      <w:pPr>
        <w:pStyle w:val="BodyText"/>
      </w:pPr>
      <w:r>
        <w:t>• Canllaw Cam wrth Gam ar Recriwtio – Mae hwn yn manylu ar ddull CITB o recriwtio pobl i’r sefydliad: caffael, dethol, cynefino ac ymsefydlu, ac er enghraifft, sicrhau bod gwiriadau hawl i weithio priodol yn cael eu cwblhau, bod gan bawb gontract cyflogaeth sy’n nodi telerau ac amodau, a’u bod yn cael eu talu’n uniongyrchol. Bydd canllaw newydd yn cael ei gyhoeddi yn 2025 wrth i wasanaethau recriwtio gael eu hadfer yn fewnol.</w:t>
      </w:r>
    </w:p>
    <w:p w14:paraId="1FCE2A50" w14:textId="77777777" w:rsidR="000D259C" w:rsidRDefault="000D259C" w:rsidP="000D259C">
      <w:pPr>
        <w:pStyle w:val="BodyText"/>
      </w:pPr>
      <w:r>
        <w:t>• Gwobr Tâl – Cynhelir ymarfer meincnodi blynyddol i lywio’r broses gwobrwyo tâl, a gynhelir mewn ymgynghoriad â’r undebau llafur a chynrychiolwyr rheoli.</w:t>
      </w:r>
    </w:p>
    <w:p w14:paraId="433A0678" w14:textId="77777777" w:rsidR="000D259C" w:rsidRDefault="000D259C" w:rsidP="000D259C">
      <w:pPr>
        <w:pStyle w:val="BodyText"/>
      </w:pPr>
      <w:r>
        <w:t>• Diogelu Dysgwyr – Cod Ymddygiad Cydweithwyr – Mae hwn yn manylu ar ddull CITB o ddiogelu a hyrwyddo lles plant ac oedolion agored i niwed. Diweddarwyd y Polisi ddiwethaf ym mis Awst 2024, gyda’r adolygiad nesaf wedi’i gynllunio ar gyfer Awst 2026.</w:t>
      </w:r>
    </w:p>
    <w:p w14:paraId="585799F8" w14:textId="2EB6D4AF" w:rsidR="000D259C" w:rsidRDefault="000D259C" w:rsidP="000D259C">
      <w:pPr>
        <w:pStyle w:val="BodyText"/>
        <w:jc w:val="left"/>
      </w:pPr>
      <w:r>
        <w:t>• Gweithdrefn Cwynion – Mae hwn yn darparu dull i bartïon allanol adrodd pryderon am gaethwasiaeth fodern mewn perthynas â gweithrediadau busnes CITB, ac mae ar gael ar wefan CITB. Os codir pryder, ac nad yw’r sawl sy’n cwyno yn teimlo bod y mater wedi’i ddatrys yn foddhaol, gallant ei esgyn trwy gysylltu â’u Haelod Seneddol, neu’r Ombwdsmon Seneddol (Lloegr a Chymru) neu Ombwdsmon Gwasanaethau Cyhoeddus yr Alban (Yr Alban).</w:t>
      </w:r>
    </w:p>
    <w:p w14:paraId="33BA9AE2" w14:textId="77777777" w:rsidR="000D259C" w:rsidRDefault="000D259C" w:rsidP="000D259C">
      <w:pPr>
        <w:pStyle w:val="BodyText"/>
        <w:spacing w:before="253"/>
        <w:ind w:right="17"/>
      </w:pPr>
      <w:r>
        <w:t>Mae’r holl bolisïau ar gael ar dudalennau Sharepoint CITB (a elwir yn Connected) i’w cyrchu gan weithwyr. Bydd polisïau pellach yn cael eu datblygu os oes angen.</w:t>
      </w:r>
    </w:p>
    <w:p w14:paraId="6CE7F5D2" w14:textId="18D49723" w:rsidR="008D4A53" w:rsidRDefault="000D259C" w:rsidP="000D259C">
      <w:pPr>
        <w:pStyle w:val="BodyText"/>
        <w:spacing w:before="253"/>
        <w:ind w:right="17"/>
      </w:pPr>
      <w:r>
        <w:t>Os nad yw gweithwyr yn cydymffurfio ag unrhyw un o bolisïau CITB, gall arwain at gamau disgyblu, gyda chosb hyd at ac yn cynnwys diswyddo. Mae’r broses sefydliadol ar gyfer datblygu, cymeradwyo, a pherchnogaeth polisïau yn cael ei goruchwylio gan Reolwr Gwybodaeth a Dogfennau Corfforaethol</w:t>
      </w:r>
      <w:r w:rsidR="00000000">
        <w:t>.</w:t>
      </w:r>
    </w:p>
    <w:p w14:paraId="19CE7CA4" w14:textId="77777777" w:rsidR="008D4A53" w:rsidRDefault="008D4A53">
      <w:pPr>
        <w:pStyle w:val="BodyText"/>
        <w:jc w:val="left"/>
      </w:pPr>
    </w:p>
    <w:p w14:paraId="21906317" w14:textId="77D32755" w:rsidR="008D4A53" w:rsidRDefault="00065546">
      <w:pPr>
        <w:pStyle w:val="Heading1"/>
        <w:numPr>
          <w:ilvl w:val="0"/>
          <w:numId w:val="2"/>
        </w:numPr>
        <w:tabs>
          <w:tab w:val="left" w:pos="450"/>
        </w:tabs>
        <w:ind w:hanging="427"/>
      </w:pPr>
      <w:r>
        <w:rPr>
          <w:color w:val="B0006D"/>
        </w:rPr>
        <w:t>Asesiad Risg, Atal a Lliniaru</w:t>
      </w:r>
    </w:p>
    <w:p w14:paraId="3B363615" w14:textId="77777777" w:rsidR="008D4A53" w:rsidRDefault="008D4A53">
      <w:pPr>
        <w:pStyle w:val="BodyText"/>
        <w:jc w:val="left"/>
        <w:rPr>
          <w:rFonts w:ascii="Arial"/>
          <w:b/>
        </w:rPr>
      </w:pPr>
    </w:p>
    <w:p w14:paraId="2174CFCD" w14:textId="77777777" w:rsidR="00065546" w:rsidRDefault="00065546" w:rsidP="00065546">
      <w:pPr>
        <w:pStyle w:val="BodyText"/>
      </w:pPr>
      <w:r>
        <w:t>O'i gymharu â 2023–24, nid yw CITB wedi gwneud newidiadau sylweddol i natur y cynhyrchion a’r gwasanaethau y mae’n eu caffael, ac mae’n parhau i gontractio gyda busnesau cydnabyddedig sydd wedi’u cofrestru yn y Deyrnas Unedig. O ganlyniad, mae CITB yn parhau i asesu’r risg o gaethwasiaeth fodern ar draws ei weithrediadau busnes fel un isel.</w:t>
      </w:r>
    </w:p>
    <w:p w14:paraId="1954A3D2" w14:textId="77777777" w:rsidR="00065546" w:rsidRDefault="00065546" w:rsidP="00065546">
      <w:pPr>
        <w:pStyle w:val="BodyText"/>
      </w:pPr>
    </w:p>
    <w:p w14:paraId="5F1D798B" w14:textId="0CC707DB" w:rsidR="00065546" w:rsidRDefault="00065546" w:rsidP="00065546">
      <w:pPr>
        <w:pStyle w:val="BodyText"/>
      </w:pPr>
      <w:r>
        <w:t>Mae gweithgarwch twyllodrus yn parhau i fod yn un o brif risgiau strategol corfforaethol CITB, gyda chysylltiadau posibl â chaethwasiaeth fodern a masnachu pobl. Er mwyn lliniaru’r risg hon, mae mesurau monitro uwch wedi’u gweithredu, gan gynnwys goruchwyliaeth ar lefelau Gweithredol a’r Bwrdd. Yn ogystal, mae risg strategol o niwed i brentisiaid, pobl ifanc, ac oedolion agored i niwed oherwydd diffyg neu fethiant trefniadau diogelu priodol. Felly, mae diogelu wedi bod yn faes allweddol o ffocws a datblygiad ar gyfer y rhaglenni NCC a phrentisiaethau dros y 18 mis diwethaf. Enillwyd y Wobr Arweinwyr mewn Diogelu ar gyfer Lloegr yn 2023–24 ac ar gyfer yr Alban yn 2024–25. Mae Tîm Diogelu penodol yn monitro’r trefniadau ac unrhyw ddigwyddiadau sy’n codi, ac mae gweithrediad cyffredinol y broses yn cael ei fonitro gan Bwyllgor NCC a Phrentisiaethau ar ran y Bwrdd.</w:t>
      </w:r>
    </w:p>
    <w:p w14:paraId="08CCA390" w14:textId="77777777" w:rsidR="00065546" w:rsidRDefault="00065546" w:rsidP="00065546">
      <w:pPr>
        <w:pStyle w:val="BodyText"/>
        <w:jc w:val="left"/>
      </w:pPr>
    </w:p>
    <w:p w14:paraId="2882DD2D" w14:textId="29148712" w:rsidR="008D4A53" w:rsidRDefault="00065546" w:rsidP="00065546">
      <w:pPr>
        <w:pStyle w:val="BodyText"/>
        <w:jc w:val="left"/>
        <w:sectPr w:rsidR="008D4A53" w:rsidSect="000D259C">
          <w:headerReference w:type="default" r:id="rId7"/>
          <w:footerReference w:type="default" r:id="rId8"/>
          <w:type w:val="continuous"/>
          <w:pgSz w:w="11910" w:h="16840"/>
          <w:pgMar w:top="1340" w:right="1417" w:bottom="1200" w:left="1417" w:header="708" w:footer="1000" w:gutter="0"/>
          <w:cols w:space="720"/>
        </w:sectPr>
      </w:pPr>
      <w:r>
        <w:t>Adolygwyd asesiad risg cyflenwyr Haen 1 CITB gan Bennaeth Caffael a Rheoli Contractau CITB i weld pa gontractau oedd wedi’u hystyried yn risg ganolig neu uchel, sef y rhai â dau neu fwy o ffactorau risg perthnasol. Y ffactorau risg a gymhwyswyd yw: Math o Ddiwydiant, Nwyddau, Lleoliad Cyflenwr, Modelau Cadwyn Gyflenwi Busnes, Natur y Gweithlu, a’r Cyd-destun lle mae’r Gadwyn Gyflenwi’n gweithredu.</w:t>
      </w:r>
      <w:r>
        <w:t xml:space="preserve"> </w:t>
      </w:r>
    </w:p>
    <w:p w14:paraId="3FD53F75" w14:textId="77777777" w:rsidR="00065546" w:rsidRDefault="00065546" w:rsidP="00065546">
      <w:pPr>
        <w:pStyle w:val="BodyText"/>
      </w:pPr>
      <w:r>
        <w:lastRenderedPageBreak/>
        <w:t>Mae gan CITB bum cyflenwr (yn cwmpasu warws, arlwyo, glanhau a gwasanaethau diogelwch, golchi dillad, offer amddiffynnol personol, a nwyddau marchnata) a gafodd eu hystyried yn risg ganolig neu uchel oherwydd eu cadwyni cyflenwi eu hunain, a phedwar contract sy’n fwy na £5m o werth.</w:t>
      </w:r>
    </w:p>
    <w:p w14:paraId="72F04D82" w14:textId="77777777" w:rsidR="00065546" w:rsidRDefault="00065546" w:rsidP="00065546">
      <w:pPr>
        <w:pStyle w:val="BodyText"/>
      </w:pPr>
    </w:p>
    <w:p w14:paraId="07DA648C" w14:textId="77777777" w:rsidR="00065546" w:rsidRDefault="00065546" w:rsidP="00065546">
      <w:pPr>
        <w:pStyle w:val="BodyText"/>
      </w:pPr>
      <w:r>
        <w:t>Mae CITB wedi’i gofrestru i ddefnyddio’r Offeryn Asesu Caethwasiaeth Fodern (MSAT) ac yn bwriadu ei ddefnyddio ar gyfer pob caffael newydd a chontractau presennol sy’n cynnwys cyflenwyr risg ganolig neu uchel a chontractau sy’n fwy na £5m. Mae’r cyfraddau cwblhau yn isel iawn, gyda chyflenwyr yn gofyn i anfon eu Datganiadau Caethwasiaeth Fodern (MSS) yn lle.</w:t>
      </w:r>
    </w:p>
    <w:p w14:paraId="60500D20" w14:textId="77777777" w:rsidR="00065546" w:rsidRDefault="00065546" w:rsidP="00065546">
      <w:pPr>
        <w:pStyle w:val="BodyText"/>
      </w:pPr>
    </w:p>
    <w:p w14:paraId="7A145C4A" w14:textId="77777777" w:rsidR="00065546" w:rsidRDefault="00065546" w:rsidP="00065546">
      <w:pPr>
        <w:pStyle w:val="BodyText"/>
      </w:pPr>
      <w:r>
        <w:t>Mae Cymal 40 ‘Caethwasiaeth Fodern’ o fewn telerau ac amodau safonol contractau Nwyddau a Gwasanaethau CITB yn nodi bod gan CITB ‘raddfa lwyr o ddisgresiwn’ ynghylch pa gam(au) y gall eu cymryd os canfyddir achos o gaethwasiaeth fodern o fewn ei gadwyn gyflenwi, gan gynnwys archwilio pob llwybr posibl cyn ystyried terfynu’r contract. Os caiff pryder ei nodi neu ei godi, dylai’r cyflenwr gysylltu â CITB a’r llinell gymorth Caethwasiaeth Fodern.</w:t>
      </w:r>
    </w:p>
    <w:p w14:paraId="7A2570A6" w14:textId="77777777" w:rsidR="00065546" w:rsidRDefault="00065546" w:rsidP="00065546">
      <w:pPr>
        <w:pStyle w:val="BodyText"/>
      </w:pPr>
    </w:p>
    <w:p w14:paraId="095F948F" w14:textId="77777777" w:rsidR="00065546" w:rsidRDefault="00065546" w:rsidP="00065546">
      <w:pPr>
        <w:pStyle w:val="BodyText"/>
      </w:pPr>
      <w:r>
        <w:t>Gofynnir i bob cyflenwr perthnasol CITB baratoi adroddiad blynyddol ar gaethwasiaeth fodern a masnachu pobl, i’w gyflwyno erbyn 1 Hydref bob blwyddyn ac, yn y dyfodol, cwblhau’r MSAT (os oes angen).</w:t>
      </w:r>
    </w:p>
    <w:p w14:paraId="32D2D5FE" w14:textId="77777777" w:rsidR="00065546" w:rsidRDefault="00065546" w:rsidP="00065546">
      <w:pPr>
        <w:pStyle w:val="BodyText"/>
      </w:pPr>
    </w:p>
    <w:p w14:paraId="02A42753" w14:textId="5D6832E9" w:rsidR="008D4A53" w:rsidRDefault="00065546" w:rsidP="00065546">
      <w:pPr>
        <w:pStyle w:val="BodyText"/>
        <w:jc w:val="left"/>
      </w:pPr>
      <w:r>
        <w:t>Rhaid i bob cyflenwr newydd CITB gydymffurfio â Chod Ymddygiad Cyflenwyr CITB sy’n nodi beth mae CITB yn ei ddisgwyl gan ei gyflenwyr o ran arferion busnes cyfrifol ac ymddygiad sy’n ymdrin â hawliau dynol, caethwasiaeth fodern, ac arferion cyflogaeth da yn gyffredinol.</w:t>
      </w:r>
    </w:p>
    <w:p w14:paraId="24F754F6" w14:textId="77777777" w:rsidR="00065546" w:rsidRDefault="00065546" w:rsidP="00065546">
      <w:pPr>
        <w:pStyle w:val="BodyText"/>
        <w:jc w:val="left"/>
      </w:pPr>
    </w:p>
    <w:p w14:paraId="6E853E11" w14:textId="55FEF714" w:rsidR="008D4A53" w:rsidRDefault="00065546">
      <w:pPr>
        <w:pStyle w:val="Heading1"/>
        <w:numPr>
          <w:ilvl w:val="0"/>
          <w:numId w:val="2"/>
        </w:numPr>
        <w:tabs>
          <w:tab w:val="left" w:pos="450"/>
        </w:tabs>
        <w:ind w:hanging="427"/>
      </w:pPr>
      <w:r>
        <w:rPr>
          <w:color w:val="B0006D"/>
        </w:rPr>
        <w:t>Prosesau Diwydrwydd Dyladwy</w:t>
      </w:r>
    </w:p>
    <w:p w14:paraId="42594617" w14:textId="77777777" w:rsidR="00065546" w:rsidRDefault="00065546" w:rsidP="00065546">
      <w:pPr>
        <w:pStyle w:val="BodyText"/>
      </w:pPr>
    </w:p>
    <w:p w14:paraId="042A6930" w14:textId="6D467090" w:rsidR="00065546" w:rsidRDefault="00065546" w:rsidP="00065546">
      <w:pPr>
        <w:pStyle w:val="BodyText"/>
      </w:pPr>
      <w:r>
        <w:t>Mae Tîm Twyll CITB yn parhau i gefnogi cyfarfodydd amlasiantaeth Operation Enterprise a gynhelir gan Heddlu'r Met, gan gynnwys ymholiadau am wybodaeth a deallusrwydd. Mae Tîm Twyll CITB hefyd yn aelodau cysylltiol o'r Rhwydwaith Deallusrwydd Asiantaethau'r Llywodraeth (GAIN) ac yn derbyn ceisiadau rheolaidd am wybodaeth i gefnogi ymchwiliadau caethwasiaeth fodern gan asiantaethau gorfodi'r gyfraith.</w:t>
      </w:r>
    </w:p>
    <w:p w14:paraId="6A120F28" w14:textId="77777777" w:rsidR="00065546" w:rsidRDefault="00065546" w:rsidP="00065546">
      <w:pPr>
        <w:pStyle w:val="BodyText"/>
      </w:pPr>
    </w:p>
    <w:p w14:paraId="51DC5EA0" w14:textId="4FA3350D" w:rsidR="00065546" w:rsidRDefault="00065546" w:rsidP="00065546">
      <w:pPr>
        <w:pStyle w:val="BodyText"/>
      </w:pPr>
      <w:r>
        <w:t xml:space="preserve">Ymunodd CITB </w:t>
      </w:r>
      <w:r w:rsidR="006E51F3">
        <w:t>ag</w:t>
      </w:r>
      <w:r>
        <w:t xml:space="preserve"> is-grŵp busnes Rhwydwaith Gwrth-Gaethwasiaeth Norfolk (NASN), y cyntaf o’i fath yn y Deyrnas Unedig, ym mis Ebrill 2024. Nod NASN yw darparu arweinyddiaeth a chryfhau ac ehangu’r ymateb amlasiantaeth i Gaethwasiaeth Fodern a Masnachu Pobl (MSHT) yn Norfolk, cartref safle NCC mwyaf CITB. Mae data gan Heddlu Norfolk yn dangos bod rhai dioddefwyr llafur gorfodol wedi bod mewn busnesau adeiladu lleol, ac mae CITB mewn sefyllfa dda i helpu i godi ymwybyddiaeth drwy waith ei Dimau Ymgysylltu cenedlaethol a Rhwydweithiau Cyflogwyr newydd i helpu atal hyn rhag digwydd.</w:t>
      </w:r>
    </w:p>
    <w:p w14:paraId="0E270BF3" w14:textId="77777777" w:rsidR="00065546" w:rsidRDefault="00065546" w:rsidP="00065546">
      <w:pPr>
        <w:pStyle w:val="BodyText"/>
      </w:pPr>
    </w:p>
    <w:p w14:paraId="1E57EA1E" w14:textId="0B022B5E" w:rsidR="008D4A53" w:rsidRDefault="00065546" w:rsidP="00065546">
      <w:pPr>
        <w:pStyle w:val="BodyText"/>
        <w:jc w:val="left"/>
      </w:pPr>
      <w:r>
        <w:t>Mae CITB wedi sefydlu cyfeiriad e-bost penodol ‘report.it@citb.co.uk’ i gydweithwyr yn y diwydiant adeiladu adrodd unrhyw amheuon mewn perthynas â gweithgaredd twyllodrus amheus. Gall hyn gynnwys gweithgareddau caethwasiaeth fodern a masnachu pobl. Yn ystod 2024–25, ni chafwyd unrhyw achosion newydd wedi’u hadrodd drwy’r cyfeiriad e-bost hwn.</w:t>
      </w:r>
    </w:p>
    <w:p w14:paraId="13C37C39" w14:textId="77777777" w:rsidR="00065546" w:rsidRDefault="00065546" w:rsidP="00065546">
      <w:pPr>
        <w:pStyle w:val="BodyText"/>
        <w:jc w:val="left"/>
      </w:pPr>
    </w:p>
    <w:p w14:paraId="2DBD43E3" w14:textId="001BE0F7" w:rsidR="008D4A53" w:rsidRDefault="00065546">
      <w:pPr>
        <w:pStyle w:val="Heading1"/>
        <w:numPr>
          <w:ilvl w:val="0"/>
          <w:numId w:val="2"/>
        </w:numPr>
        <w:tabs>
          <w:tab w:val="left" w:pos="450"/>
        </w:tabs>
        <w:ind w:hanging="427"/>
      </w:pPr>
      <w:r>
        <w:rPr>
          <w:color w:val="B0006D"/>
        </w:rPr>
        <w:t>Effeithiolrwydd, wedi’i fesur yn erbyn Dangos</w:t>
      </w:r>
      <w:r w:rsidR="006E51F3">
        <w:rPr>
          <w:color w:val="B0006D"/>
        </w:rPr>
        <w:t>y</w:t>
      </w:r>
      <w:r>
        <w:rPr>
          <w:color w:val="B0006D"/>
        </w:rPr>
        <w:t>ddion Perfformiad Allweddol (DPAau)</w:t>
      </w:r>
    </w:p>
    <w:p w14:paraId="6458DBE1" w14:textId="605AC6DB" w:rsidR="00065546" w:rsidRDefault="00065546">
      <w:pPr>
        <w:pStyle w:val="BodyText"/>
        <w:spacing w:before="252"/>
        <w:ind w:left="450"/>
      </w:pPr>
      <w:r w:rsidRPr="00065546">
        <w:t xml:space="preserve">Adolygodd CITB ei fframwaith </w:t>
      </w:r>
      <w:r>
        <w:t>DPA</w:t>
      </w:r>
      <w:r w:rsidRPr="00065546">
        <w:t xml:space="preserve"> yn 2023–24 i sicrhau ei fod yn effeithiol ac yn gymesur i gefnogi monitro ac adolygu ei berfformiad wrth fynd i’r afael â chaethwasiaeth fodern. Oherwydd y gyfradd ymateb isel i’r MSAT, mae’r ddau </w:t>
      </w:r>
      <w:r>
        <w:t>DPA</w:t>
      </w:r>
      <w:r w:rsidRPr="00065546">
        <w:t xml:space="preserve"> cysylltiedig a oedd i’w lansio yn 2024–25 wedi’u tynnu’n ôl. Yn lle hynny, byddwn yn ymgysylltu’n uniongyrchol â chyflenwyr ein contractau risg canolig a</w:t>
      </w:r>
      <w:r w:rsidR="006E51F3">
        <w:t>c</w:t>
      </w:r>
      <w:r w:rsidRPr="00065546">
        <w:t xml:space="preserve"> uchel yn ystod cyfarfodydd </w:t>
      </w:r>
      <w:r w:rsidRPr="00065546">
        <w:lastRenderedPageBreak/>
        <w:t>adolygu contractau i drafod eu camau i fynd i’r afael â risgiau caethwasiaeth fodern.</w:t>
      </w:r>
    </w:p>
    <w:p w14:paraId="2FECD675" w14:textId="0DBF9B8D" w:rsidR="008D4A53" w:rsidRDefault="00065546" w:rsidP="00065546">
      <w:pPr>
        <w:pStyle w:val="BodyText"/>
        <w:spacing w:before="252"/>
      </w:pPr>
      <w:r>
        <w:rPr>
          <w:u w:val="single"/>
        </w:rPr>
        <w:t>Fframwaith DPA</w:t>
      </w:r>
    </w:p>
    <w:p w14:paraId="2BEC0B84" w14:textId="77777777" w:rsidR="008D4A53" w:rsidRDefault="008D4A53">
      <w:pPr>
        <w:pStyle w:val="BodyText"/>
        <w:spacing w:before="23"/>
        <w:jc w:val="left"/>
        <w:rPr>
          <w:sz w:val="20"/>
        </w:rPr>
      </w:pPr>
    </w:p>
    <w:tbl>
      <w:tblPr>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09"/>
        <w:gridCol w:w="1510"/>
      </w:tblGrid>
      <w:tr w:rsidR="008D4A53" w14:paraId="5EB784F3" w14:textId="77777777">
        <w:trPr>
          <w:trHeight w:val="253"/>
        </w:trPr>
        <w:tc>
          <w:tcPr>
            <w:tcW w:w="7509" w:type="dxa"/>
          </w:tcPr>
          <w:p w14:paraId="19828599" w14:textId="3204C111" w:rsidR="008D4A53" w:rsidRDefault="00065546">
            <w:pPr>
              <w:pStyle w:val="TableParagraph"/>
              <w:spacing w:line="234" w:lineRule="exact"/>
            </w:pPr>
            <w:r>
              <w:t>Dangos</w:t>
            </w:r>
            <w:r w:rsidR="006E51F3">
              <w:t>y</w:t>
            </w:r>
            <w:r>
              <w:t>ddion Perfformiad Allweddol</w:t>
            </w:r>
          </w:p>
        </w:tc>
        <w:tc>
          <w:tcPr>
            <w:tcW w:w="1510" w:type="dxa"/>
          </w:tcPr>
          <w:p w14:paraId="3F4BEC5D" w14:textId="0E2AB0B8" w:rsidR="008D4A53" w:rsidRDefault="00000000">
            <w:pPr>
              <w:pStyle w:val="TableParagraph"/>
              <w:spacing w:line="234" w:lineRule="exact"/>
            </w:pPr>
            <w:r>
              <w:rPr>
                <w:spacing w:val="-2"/>
              </w:rPr>
              <w:t>S</w:t>
            </w:r>
            <w:r w:rsidR="00065546">
              <w:rPr>
                <w:spacing w:val="-2"/>
              </w:rPr>
              <w:t>gôr</w:t>
            </w:r>
          </w:p>
        </w:tc>
      </w:tr>
      <w:tr w:rsidR="00065546" w14:paraId="155905E7" w14:textId="77777777">
        <w:trPr>
          <w:trHeight w:val="506"/>
        </w:trPr>
        <w:tc>
          <w:tcPr>
            <w:tcW w:w="7509" w:type="dxa"/>
          </w:tcPr>
          <w:p w14:paraId="41743DF6" w14:textId="034B0832" w:rsidR="00065546" w:rsidRDefault="00065546" w:rsidP="00065546">
            <w:pPr>
              <w:pStyle w:val="TableParagraph"/>
              <w:spacing w:line="252" w:lineRule="exact"/>
            </w:pPr>
            <w:r>
              <w:t>1. Canran o’r gweithwyr gofynnol sydd wedi cwblhau’r hyfforddiant gorfodol (fel ar Chwefror 25) (ac eithrio gweithwyr newydd)</w:t>
            </w:r>
          </w:p>
        </w:tc>
        <w:tc>
          <w:tcPr>
            <w:tcW w:w="1510" w:type="dxa"/>
          </w:tcPr>
          <w:p w14:paraId="2379DE7C" w14:textId="77777777" w:rsidR="00065546" w:rsidRDefault="00065546" w:rsidP="00065546">
            <w:pPr>
              <w:pStyle w:val="TableParagraph"/>
            </w:pPr>
            <w:r>
              <w:rPr>
                <w:spacing w:val="-5"/>
              </w:rPr>
              <w:t>97%</w:t>
            </w:r>
          </w:p>
        </w:tc>
      </w:tr>
      <w:tr w:rsidR="00065546" w14:paraId="0DAD6F3A" w14:textId="77777777">
        <w:trPr>
          <w:trHeight w:val="757"/>
        </w:trPr>
        <w:tc>
          <w:tcPr>
            <w:tcW w:w="7509" w:type="dxa"/>
          </w:tcPr>
          <w:p w14:paraId="3A8BCFF9" w14:textId="238BA347" w:rsidR="00065546" w:rsidRDefault="00065546" w:rsidP="00065546">
            <w:pPr>
              <w:pStyle w:val="TableParagraph"/>
              <w:spacing w:line="232" w:lineRule="exact"/>
            </w:pPr>
            <w:r>
              <w:t xml:space="preserve">2. Canran o holl weithwyr y Tîm Categori (gan gynnwys SSCL) sydd wedi cwblhau’r e-ddysgu CIPS ar Gaffael Moesegol </w:t>
            </w:r>
            <w:r w:rsidR="006E51F3">
              <w:t>a Chyflenwad</w:t>
            </w:r>
            <w:r>
              <w:t xml:space="preserve"> Blynyddol (neu gyfwerth argymelledig)</w:t>
            </w:r>
          </w:p>
        </w:tc>
        <w:tc>
          <w:tcPr>
            <w:tcW w:w="1510" w:type="dxa"/>
          </w:tcPr>
          <w:p w14:paraId="20B6537C" w14:textId="77777777" w:rsidR="00065546" w:rsidRDefault="00065546" w:rsidP="00065546">
            <w:pPr>
              <w:pStyle w:val="TableParagraph"/>
            </w:pPr>
            <w:r>
              <w:rPr>
                <w:spacing w:val="-4"/>
              </w:rPr>
              <w:t>100%</w:t>
            </w:r>
          </w:p>
        </w:tc>
      </w:tr>
      <w:tr w:rsidR="00065546" w14:paraId="3C07E79F" w14:textId="77777777">
        <w:trPr>
          <w:trHeight w:val="760"/>
        </w:trPr>
        <w:tc>
          <w:tcPr>
            <w:tcW w:w="7509" w:type="dxa"/>
          </w:tcPr>
          <w:p w14:paraId="38376386" w14:textId="7975C90E" w:rsidR="00065546" w:rsidRDefault="00065546" w:rsidP="00065546">
            <w:pPr>
              <w:pStyle w:val="TableParagraph"/>
              <w:spacing w:line="252" w:lineRule="exact"/>
              <w:ind w:right="94"/>
            </w:pPr>
            <w:r>
              <w:t>3. Canran o gyflenwyr risg canolig/uchel a chyflenwyr gwerth uchel sydd wedi cyhoeddi Datganiad Caethwasiaeth Fodern ar Gofrestr y Llywodraeth (os yn dod o dan Adran 54 Deddf Caethwasiaeth Fodern)</w:t>
            </w:r>
          </w:p>
        </w:tc>
        <w:tc>
          <w:tcPr>
            <w:tcW w:w="1510" w:type="dxa"/>
          </w:tcPr>
          <w:p w14:paraId="3FF1D868" w14:textId="77777777" w:rsidR="00065546" w:rsidRDefault="00065546" w:rsidP="00065546">
            <w:pPr>
              <w:pStyle w:val="TableParagraph"/>
            </w:pPr>
            <w:r>
              <w:rPr>
                <w:spacing w:val="-5"/>
              </w:rPr>
              <w:t>6/6</w:t>
            </w:r>
          </w:p>
        </w:tc>
      </w:tr>
    </w:tbl>
    <w:p w14:paraId="164D9070" w14:textId="77777777" w:rsidR="008D4A53" w:rsidRDefault="008D4A53">
      <w:pPr>
        <w:pStyle w:val="BodyText"/>
        <w:spacing w:before="1"/>
        <w:jc w:val="left"/>
      </w:pPr>
    </w:p>
    <w:p w14:paraId="38AACBB7" w14:textId="32D5C83F" w:rsidR="008D4A53" w:rsidRDefault="00065546">
      <w:pPr>
        <w:pStyle w:val="Heading1"/>
        <w:numPr>
          <w:ilvl w:val="0"/>
          <w:numId w:val="2"/>
        </w:numPr>
        <w:tabs>
          <w:tab w:val="left" w:pos="450"/>
        </w:tabs>
        <w:ind w:hanging="427"/>
      </w:pPr>
      <w:r>
        <w:rPr>
          <w:color w:val="B0006D"/>
        </w:rPr>
        <w:t>Hyfforddiant ac Adeiladu Capasiti</w:t>
      </w:r>
    </w:p>
    <w:p w14:paraId="0B55F9B6" w14:textId="77777777" w:rsidR="008D4A53" w:rsidRDefault="008D4A53">
      <w:pPr>
        <w:pStyle w:val="BodyText"/>
        <w:spacing w:before="1"/>
        <w:jc w:val="left"/>
        <w:rPr>
          <w:rFonts w:ascii="Arial"/>
          <w:b/>
        </w:rPr>
      </w:pPr>
    </w:p>
    <w:p w14:paraId="60CA2D60" w14:textId="77777777" w:rsidR="00065546" w:rsidRDefault="00065546" w:rsidP="00065546">
      <w:pPr>
        <w:pStyle w:val="BodyText"/>
      </w:pPr>
      <w:r>
        <w:t>Mae’r diwydiant adeiladu yn cael ei asesu’n gyson fel un o’r diwydiannau sydd â risg uchel o ecsbloetiaeth llafur gan yr Asiantaeth Troseddau Cenedlaethol (NCA). Adroddodd Asesiad Strategol Cenedlaethol 2025 yr NCA ar Droseddau Difrifol a Threfnedig fod sectorau lle mae gwaith yn aml yn anffurfiol neu’n fyr-dymor, megis amaethyddiaeth, gwasanaethau harddwch, adeiladu, prosesu a pharatoi bwyd, a golchfeydd ceir â llaw, yn arbennig o agored i ecsbloetiaeth llafur, gyda’r diwydiant adeiladu wedi’i nodi fel un o’r sectorau mwyaf cyffredin ar gyfer ecsbloetiaeth llafur yn y DU.</w:t>
      </w:r>
    </w:p>
    <w:p w14:paraId="473BB0EA" w14:textId="77777777" w:rsidR="00065546" w:rsidRDefault="00065546" w:rsidP="00065546">
      <w:pPr>
        <w:pStyle w:val="BodyText"/>
      </w:pPr>
      <w:r>
        <w:t>Mae cwmnïau llai neu unigolion sy’n gweithio ar brosiectau domestig neu fasnachol bach yn fwy tebygol o weld y model troseddwr terfynol, lle mae dioddefwr yn cyflawni gwaith yn uniongyrchol i’r ecsbloetwr. Fodd bynnag, mae’n bron yn sicr mai’r sector adeiladu masnachol sy’n cyflwyno’r risg uchaf o gael ei dreiddio gan Grwpiau Troseddau Trefnedig (OCGs) soffistigedig iawn, lle mae dioddefwyr yn gweithio ar ran yr ecsbloetwr neu eu busnes drwy gwblhau gwaith i drydydd parti. Mae hyn bron yn sicr oherwydd y galw am weithwyr, diffyg gwiriadau hawl i weithio, potensial am elw uchel o gontractau adeiladu masnachol, a chadwyni cyflenwi cymhleth.</w:t>
      </w:r>
    </w:p>
    <w:p w14:paraId="57FED035" w14:textId="77777777" w:rsidR="00065546" w:rsidRDefault="00065546" w:rsidP="00065546">
      <w:pPr>
        <w:pStyle w:val="BodyText"/>
      </w:pPr>
      <w:r>
        <w:t>Mae CITB mewn sefyllfa dda i godi ymwybyddiaeth o MSHT drwy addysgu ei weithlu a’r diwydiant ehangach ac yn parhau i gefnogi unrhyw ymgyrchoedd cenedlaethol gan yr NCA.</w:t>
      </w:r>
    </w:p>
    <w:p w14:paraId="65865ADE" w14:textId="77777777" w:rsidR="00065546" w:rsidRDefault="00065546" w:rsidP="00065546">
      <w:pPr>
        <w:pStyle w:val="BodyText"/>
      </w:pPr>
      <w:r>
        <w:t>Mae’n ofynnol i weithwyr CITB gwblhau modiwl e-ddysgu gorfodol ar Gaethwasiaeth Fodern wedi’i deilwra i’r diwydiant adeiladu bob tair blynedd. Os na chaiff yr hyfforddiant gorfodol ei gwblhau o fewn yr amser penodedig, rhoddir gwybod i’r rheolwr llinell perthnasol ac fe’i trafodir gyda’r gweithiwr, gan osod dyddiad targed newydd ar gyfer cwblhau. Yn y cyfamser, rhennir cyfathrebiadau ar ddyddiadau ymwybyddiaeth calendr allweddol i gefnogi ac adnewyddu gwybodaeth a dealltwriaeth gweithwyr.</w:t>
      </w:r>
    </w:p>
    <w:p w14:paraId="6E58D9C7" w14:textId="77777777" w:rsidR="00065546" w:rsidRDefault="00065546" w:rsidP="00065546">
      <w:pPr>
        <w:pStyle w:val="BodyText"/>
      </w:pPr>
      <w:r>
        <w:t>Mae aelodau Tîm Caffael CITB ac SSCL yn parhau i gwblhau hyfforddiant adnewyddu blynyddol fel rhan o’u haelodaeth CIPS ar Gaffael Moesegol a Chyflenwyr, sy’n cynnwys caethwasiaeth fodern.</w:t>
      </w:r>
    </w:p>
    <w:p w14:paraId="61A78D0B" w14:textId="77777777" w:rsidR="00065546" w:rsidRDefault="00065546" w:rsidP="00065546">
      <w:pPr>
        <w:pStyle w:val="BodyText"/>
      </w:pPr>
      <w:r>
        <w:t>Ym mis Ebrill 2024, mynychodd Rheolwr Twyll CITB Gynhadledd Caethwasiaeth Fodern a Masnachu Pobl (MSHT) a arweiniwyd gan Heddlu’r Met a Deloitte. Roedd y gynhadledd yn cynnwys siaradwyr allweddol ar:</w:t>
      </w:r>
    </w:p>
    <w:p w14:paraId="73DAD29C" w14:textId="77777777" w:rsidR="00065546" w:rsidRDefault="00065546" w:rsidP="00065546">
      <w:pPr>
        <w:pStyle w:val="BodyText"/>
      </w:pPr>
      <w:r>
        <w:t>• Cydweithio â grwpiau sector cyhoeddus a phreifat ar fynd i’r afael â MSHT i gael yr effaith fwyaf cadarnhaol</w:t>
      </w:r>
    </w:p>
    <w:p w14:paraId="2CCE8EED" w14:textId="77777777" w:rsidR="00065546" w:rsidRDefault="00065546" w:rsidP="00065546">
      <w:pPr>
        <w:pStyle w:val="BodyText"/>
      </w:pPr>
      <w:r>
        <w:t>• Sefydliadau yn trafod mewnwelediadau, arferion gorau, a’r heriau y maent yn eu hwynebu</w:t>
      </w:r>
    </w:p>
    <w:p w14:paraId="0B4DF570" w14:textId="77777777" w:rsidR="00065546" w:rsidRDefault="00065546" w:rsidP="00065546">
      <w:pPr>
        <w:pStyle w:val="BodyText"/>
      </w:pPr>
      <w:r>
        <w:t>• Rhannu data a sut i gasglu deallusrwydd, y gellir ei rannu wedyn â Heddlu’r Met a phartneriaid gorfodi’r gyfraith (drwy eu teclyn/ar-lein ffurflen)</w:t>
      </w:r>
    </w:p>
    <w:p w14:paraId="212DB0F1" w14:textId="48CD8D46" w:rsidR="008D4A53" w:rsidRDefault="00065546" w:rsidP="00065546">
      <w:pPr>
        <w:pStyle w:val="BodyText"/>
        <w:jc w:val="left"/>
      </w:pPr>
      <w:r>
        <w:t>• Themâu a dulliau cyfredol MSHT o fewn y sectorau gwahanol</w:t>
      </w:r>
    </w:p>
    <w:p w14:paraId="060CC359" w14:textId="77777777" w:rsidR="00065546" w:rsidRDefault="00065546" w:rsidP="00065546">
      <w:pPr>
        <w:pStyle w:val="BodyText"/>
        <w:jc w:val="left"/>
      </w:pPr>
    </w:p>
    <w:p w14:paraId="70E9E49D" w14:textId="43A93E40" w:rsidR="008D4A53" w:rsidRDefault="00065546">
      <w:pPr>
        <w:pStyle w:val="Heading1"/>
        <w:numPr>
          <w:ilvl w:val="0"/>
          <w:numId w:val="2"/>
        </w:numPr>
        <w:tabs>
          <w:tab w:val="left" w:pos="450"/>
        </w:tabs>
        <w:ind w:hanging="427"/>
      </w:pPr>
      <w:r>
        <w:rPr>
          <w:color w:val="B0006D"/>
        </w:rPr>
        <w:t>Gweithgareddau a Gynlluniwyd ar gyfer</w:t>
      </w:r>
      <w:r w:rsidR="00000000">
        <w:rPr>
          <w:color w:val="B0006D"/>
          <w:spacing w:val="-5"/>
        </w:rPr>
        <w:t xml:space="preserve"> </w:t>
      </w:r>
      <w:r w:rsidR="00000000">
        <w:rPr>
          <w:color w:val="B0006D"/>
        </w:rPr>
        <w:t>2025-</w:t>
      </w:r>
      <w:r w:rsidR="00000000">
        <w:rPr>
          <w:color w:val="B0006D"/>
          <w:spacing w:val="-5"/>
        </w:rPr>
        <w:t>26</w:t>
      </w:r>
    </w:p>
    <w:p w14:paraId="57F45DC9" w14:textId="77777777" w:rsidR="008D4A53" w:rsidRDefault="008D4A53">
      <w:pPr>
        <w:pStyle w:val="BodyText"/>
        <w:jc w:val="left"/>
        <w:rPr>
          <w:rFonts w:ascii="Arial"/>
          <w:b/>
        </w:rPr>
      </w:pPr>
    </w:p>
    <w:p w14:paraId="34A1A65A" w14:textId="77777777" w:rsidR="00065546" w:rsidRDefault="00065546" w:rsidP="00065546">
      <w:pPr>
        <w:pStyle w:val="BodyText"/>
        <w:ind w:left="383"/>
      </w:pPr>
      <w:r>
        <w:t>Dros y flwyddyn nesaf, mae CITB yn bwriadu:</w:t>
      </w:r>
    </w:p>
    <w:p w14:paraId="3877A6A2" w14:textId="77777777" w:rsidR="00065546" w:rsidRDefault="00065546" w:rsidP="00065546">
      <w:pPr>
        <w:pStyle w:val="BodyText"/>
        <w:ind w:left="383"/>
      </w:pPr>
      <w:r>
        <w:t xml:space="preserve">• Parhau i gefnogi codi ymwybyddiaeth a’r argaeledd o adnoddau drwy ddefnyddio </w:t>
      </w:r>
      <w:r>
        <w:lastRenderedPageBreak/>
        <w:t>dyddiadau calendr allweddol, megis Wythnos Gwrth-Gaethwasiaeth.</w:t>
      </w:r>
    </w:p>
    <w:p w14:paraId="614069D2" w14:textId="77777777" w:rsidR="00065546" w:rsidRDefault="00065546" w:rsidP="00065546">
      <w:pPr>
        <w:pStyle w:val="BodyText"/>
        <w:ind w:left="383"/>
      </w:pPr>
      <w:r>
        <w:t>• Sicrhau bod y diweddariadau a wnaed i PPN 009 wedi’u hymgorffori’n llawn a bod risg caethwasiaeth fodern wedi’i chynnwys ac yn cael ei rheoli’n effeithiol o fewn cofrestr risg weithredol Tîm Contractau a Chaffael.</w:t>
      </w:r>
    </w:p>
    <w:p w14:paraId="7F287660" w14:textId="75EB4112" w:rsidR="00065546" w:rsidRDefault="00065546" w:rsidP="00065546">
      <w:pPr>
        <w:pStyle w:val="BodyText"/>
        <w:ind w:left="383"/>
      </w:pPr>
      <w:r>
        <w:t>• Bydd Tîm Gwrth-Dwyll CITB yn parhau i weithio gyda</w:t>
      </w:r>
      <w:r>
        <w:t>g</w:t>
      </w:r>
      <w:r>
        <w:t xml:space="preserve"> asiantaethau gorfodi’r gyfraith, gan gasglu a rhannu deallusrwydd, mewn perthynas â phrofion adeiladu, cymwysterau, a gwiriadau cardiau, i atal ehangu caethwasiaeth fodern gan OCGs a</w:t>
      </w:r>
      <w:r>
        <w:t xml:space="preserve"> ch</w:t>
      </w:r>
      <w:r>
        <w:t>yflogwyr amheus eraill.</w:t>
      </w:r>
    </w:p>
    <w:p w14:paraId="4E523FF4" w14:textId="77777777" w:rsidR="00065546" w:rsidRDefault="00065546" w:rsidP="00065546">
      <w:pPr>
        <w:pStyle w:val="BodyText"/>
        <w:ind w:left="383"/>
      </w:pPr>
      <w:r>
        <w:t>• Parhau i gymryd rhan yn NASN i rannu gwybodaeth ac arfer gorau i barhau i ddatblygu ein rhaglen i fynd i’r afael â chaethwasiaeth fodern; ac archwilio sut y gallwn godi ymwybyddiaeth yn y diwydiant adeiladu gan ddefnyddio Timau Ymgysylltu CITB a Rhwydweithiau Cyflogwyr lleol.</w:t>
      </w:r>
    </w:p>
    <w:p w14:paraId="70A3A66E" w14:textId="446C4FE1" w:rsidR="008D4A53" w:rsidRDefault="00065546" w:rsidP="00065546">
      <w:pPr>
        <w:pStyle w:val="BodyText"/>
        <w:spacing w:before="168"/>
        <w:jc w:val="left"/>
        <w:rPr>
          <w:sz w:val="20"/>
        </w:rPr>
      </w:pPr>
      <w:r>
        <w:t>Mae’r Datganiad hwn wedi’i gymeradwyo gan Gyfarwyddwyr Pwyllgor Gweithredol CITB ar 15 Medi 2025.</w:t>
      </w:r>
      <w:r w:rsidR="00000000">
        <w:rPr>
          <w:noProof/>
          <w:sz w:val="20"/>
        </w:rPr>
        <w:drawing>
          <wp:anchor distT="0" distB="0" distL="0" distR="0" simplePos="0" relativeHeight="487587840" behindDoc="1" locked="0" layoutInCell="1" allowOverlap="1" wp14:anchorId="73E8932B" wp14:editId="3C62D42E">
            <wp:simplePos x="0" y="0"/>
            <wp:positionH relativeFrom="page">
              <wp:posOffset>989311</wp:posOffset>
            </wp:positionH>
            <wp:positionV relativeFrom="paragraph">
              <wp:posOffset>268311</wp:posOffset>
            </wp:positionV>
            <wp:extent cx="1809124" cy="393953"/>
            <wp:effectExtent l="0" t="0" r="0" b="0"/>
            <wp:wrapTopAndBottom/>
            <wp:docPr id="3" name="Image 3" descr="A close up of a signature  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 close up of a signature  AI-generated content may be incorrect."/>
                    <pic:cNvPicPr/>
                  </pic:nvPicPr>
                  <pic:blipFill>
                    <a:blip r:embed="rId9" cstate="print"/>
                    <a:stretch>
                      <a:fillRect/>
                    </a:stretch>
                  </pic:blipFill>
                  <pic:spPr>
                    <a:xfrm>
                      <a:off x="0" y="0"/>
                      <a:ext cx="1809124" cy="393953"/>
                    </a:xfrm>
                    <a:prstGeom prst="rect">
                      <a:avLst/>
                    </a:prstGeom>
                  </pic:spPr>
                </pic:pic>
              </a:graphicData>
            </a:graphic>
          </wp:anchor>
        </w:drawing>
      </w:r>
    </w:p>
    <w:p w14:paraId="5134B02A" w14:textId="77777777" w:rsidR="008D4A53" w:rsidRDefault="008D4A53">
      <w:pPr>
        <w:pStyle w:val="BodyText"/>
        <w:spacing w:before="218"/>
        <w:jc w:val="left"/>
      </w:pPr>
    </w:p>
    <w:p w14:paraId="6D571758" w14:textId="77777777" w:rsidR="008D4A53" w:rsidRDefault="00000000">
      <w:pPr>
        <w:spacing w:line="252" w:lineRule="exact"/>
        <w:ind w:left="23"/>
        <w:rPr>
          <w:rFonts w:ascii="Arial"/>
          <w:b/>
        </w:rPr>
      </w:pPr>
      <w:r>
        <w:rPr>
          <w:rFonts w:ascii="Arial"/>
          <w:b/>
        </w:rPr>
        <w:t>Tim</w:t>
      </w:r>
      <w:r>
        <w:rPr>
          <w:rFonts w:ascii="Arial"/>
          <w:b/>
          <w:spacing w:val="-3"/>
        </w:rPr>
        <w:t xml:space="preserve"> </w:t>
      </w:r>
      <w:r>
        <w:rPr>
          <w:rFonts w:ascii="Arial"/>
          <w:b/>
          <w:spacing w:val="-2"/>
        </w:rPr>
        <w:t>Balcon</w:t>
      </w:r>
    </w:p>
    <w:p w14:paraId="41276DE0" w14:textId="4AF5CB22" w:rsidR="008D4A53" w:rsidRDefault="00065546">
      <w:pPr>
        <w:pStyle w:val="BodyText"/>
        <w:spacing w:line="252" w:lineRule="exact"/>
        <w:ind w:left="23"/>
        <w:jc w:val="left"/>
      </w:pPr>
      <w:r>
        <w:rPr>
          <w:spacing w:val="-5"/>
        </w:rPr>
        <w:t>Prif Weithredwr</w:t>
      </w:r>
    </w:p>
    <w:p w14:paraId="20AEFB3A" w14:textId="352BAEB4" w:rsidR="008D4A53" w:rsidRDefault="00000000">
      <w:pPr>
        <w:pStyle w:val="BodyText"/>
        <w:spacing w:line="252" w:lineRule="exact"/>
        <w:ind w:left="23"/>
        <w:jc w:val="left"/>
      </w:pPr>
      <w:r>
        <w:t>15</w:t>
      </w:r>
      <w:r w:rsidR="00065546">
        <w:t>fed</w:t>
      </w:r>
      <w:r>
        <w:rPr>
          <w:spacing w:val="-9"/>
        </w:rPr>
        <w:t xml:space="preserve"> </w:t>
      </w:r>
      <w:r w:rsidR="00065546">
        <w:t>Medi</w:t>
      </w:r>
      <w:r>
        <w:rPr>
          <w:spacing w:val="-5"/>
        </w:rPr>
        <w:t xml:space="preserve"> </w:t>
      </w:r>
      <w:r>
        <w:rPr>
          <w:spacing w:val="-4"/>
        </w:rPr>
        <w:t>2025</w:t>
      </w:r>
    </w:p>
    <w:sectPr w:rsidR="008D4A53">
      <w:pgSz w:w="11910" w:h="16840"/>
      <w:pgMar w:top="1340" w:right="1417" w:bottom="1200" w:left="1417" w:header="708"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2EE63" w14:textId="77777777" w:rsidR="00597BCA" w:rsidRDefault="00597BCA">
      <w:r>
        <w:separator/>
      </w:r>
    </w:p>
  </w:endnote>
  <w:endnote w:type="continuationSeparator" w:id="0">
    <w:p w14:paraId="3BD0DB49" w14:textId="77777777" w:rsidR="00597BCA" w:rsidRDefault="00597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E93CB" w14:textId="77777777" w:rsidR="008D4A53" w:rsidRDefault="00000000">
    <w:pPr>
      <w:pStyle w:val="BodyText"/>
      <w:spacing w:line="14" w:lineRule="auto"/>
      <w:jc w:val="left"/>
      <w:rPr>
        <w:sz w:val="20"/>
      </w:rPr>
    </w:pPr>
    <w:r>
      <w:rPr>
        <w:noProof/>
        <w:sz w:val="20"/>
      </w:rPr>
      <mc:AlternateContent>
        <mc:Choice Requires="wps">
          <w:drawing>
            <wp:anchor distT="0" distB="0" distL="0" distR="0" simplePos="0" relativeHeight="251661312" behindDoc="1" locked="0" layoutInCell="1" allowOverlap="1" wp14:anchorId="46513ED0" wp14:editId="35E37FB7">
              <wp:simplePos x="0" y="0"/>
              <wp:positionH relativeFrom="page">
                <wp:posOffset>3707003</wp:posOffset>
              </wp:positionH>
              <wp:positionV relativeFrom="page">
                <wp:posOffset>9917683</wp:posOffset>
              </wp:positionV>
              <wp:extent cx="16002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73A75443" w14:textId="77777777" w:rsidR="008D4A53" w:rsidRDefault="00000000">
                          <w:pPr>
                            <w:pStyle w:val="BodyText"/>
                            <w:spacing w:line="245" w:lineRule="exact"/>
                            <w:ind w:left="60"/>
                            <w:jc w:val="left"/>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w14:anchorId="46513ED0" id="_x0000_t202" coordsize="21600,21600" o:spt="202" path="m,l,21600r21600,l21600,xe">
              <v:stroke joinstyle="miter"/>
              <v:path gradientshapeok="t" o:connecttype="rect"/>
            </v:shapetype>
            <v:shape id="Textbox 2" o:spid="_x0000_s1026" type="#_x0000_t202" style="position:absolute;margin-left:291.9pt;margin-top:780.9pt;width:12.6pt;height:13.0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" filled="f" stroked="f">
              <v:textbox inset="0,0,0,0">
                <w:txbxContent>
                  <w:p w14:paraId="73A75443" w14:textId="77777777" w:rsidR="008D4A53" w:rsidRDefault="00000000">
                    <w:pPr>
                      <w:pStyle w:val="BodyText"/>
                      <w:spacing w:line="245" w:lineRule="exact"/>
                      <w:ind w:left="60"/>
                      <w:jc w:val="left"/>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36A5D" w14:textId="77777777" w:rsidR="00597BCA" w:rsidRDefault="00597BCA">
      <w:r>
        <w:separator/>
      </w:r>
    </w:p>
  </w:footnote>
  <w:footnote w:type="continuationSeparator" w:id="0">
    <w:p w14:paraId="485863E3" w14:textId="77777777" w:rsidR="00597BCA" w:rsidRDefault="00597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F464A" w14:textId="77777777" w:rsidR="008D4A53" w:rsidRDefault="00000000">
    <w:pPr>
      <w:pStyle w:val="BodyText"/>
      <w:spacing w:line="14" w:lineRule="auto"/>
      <w:jc w:val="left"/>
      <w:rPr>
        <w:sz w:val="20"/>
      </w:rPr>
    </w:pPr>
    <w:r>
      <w:rPr>
        <w:noProof/>
        <w:sz w:val="20"/>
      </w:rPr>
      <w:drawing>
        <wp:anchor distT="0" distB="0" distL="0" distR="0" simplePos="0" relativeHeight="251657216" behindDoc="1" locked="0" layoutInCell="1" allowOverlap="1" wp14:anchorId="28F5CCFA" wp14:editId="78C55B6C">
          <wp:simplePos x="0" y="0"/>
          <wp:positionH relativeFrom="page">
            <wp:posOffset>5883909</wp:posOffset>
          </wp:positionH>
          <wp:positionV relativeFrom="page">
            <wp:posOffset>449579</wp:posOffset>
          </wp:positionV>
          <wp:extent cx="759434" cy="283209"/>
          <wp:effectExtent l="0" t="0" r="0" b="0"/>
          <wp:wrapNone/>
          <wp:docPr id="822371848"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59434" cy="28320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E265D"/>
    <w:multiLevelType w:val="hybridMultilevel"/>
    <w:tmpl w:val="0F4AF83C"/>
    <w:lvl w:ilvl="0" w:tplc="BB14767C">
      <w:numFmt w:val="bullet"/>
      <w:lvlText w:val=""/>
      <w:lvlJc w:val="left"/>
      <w:pPr>
        <w:ind w:left="743" w:hanging="360"/>
      </w:pPr>
      <w:rPr>
        <w:rFonts w:ascii="Symbol" w:eastAsia="Symbol" w:hAnsi="Symbol" w:cs="Symbol" w:hint="default"/>
        <w:b w:val="0"/>
        <w:bCs w:val="0"/>
        <w:i w:val="0"/>
        <w:iCs w:val="0"/>
        <w:spacing w:val="0"/>
        <w:w w:val="100"/>
        <w:sz w:val="22"/>
        <w:szCs w:val="22"/>
        <w:lang w:val="en-US" w:eastAsia="en-US" w:bidi="ar-SA"/>
      </w:rPr>
    </w:lvl>
    <w:lvl w:ilvl="1" w:tplc="12BE89BA">
      <w:numFmt w:val="bullet"/>
      <w:lvlText w:val="•"/>
      <w:lvlJc w:val="left"/>
      <w:pPr>
        <w:ind w:left="1573" w:hanging="360"/>
      </w:pPr>
      <w:rPr>
        <w:rFonts w:hint="default"/>
        <w:lang w:val="en-US" w:eastAsia="en-US" w:bidi="ar-SA"/>
      </w:rPr>
    </w:lvl>
    <w:lvl w:ilvl="2" w:tplc="0A62D042">
      <w:numFmt w:val="bullet"/>
      <w:lvlText w:val="•"/>
      <w:lvlJc w:val="left"/>
      <w:pPr>
        <w:ind w:left="2406" w:hanging="360"/>
      </w:pPr>
      <w:rPr>
        <w:rFonts w:hint="default"/>
        <w:lang w:val="en-US" w:eastAsia="en-US" w:bidi="ar-SA"/>
      </w:rPr>
    </w:lvl>
    <w:lvl w:ilvl="3" w:tplc="197C2FCA">
      <w:numFmt w:val="bullet"/>
      <w:lvlText w:val="•"/>
      <w:lvlJc w:val="left"/>
      <w:pPr>
        <w:ind w:left="3239" w:hanging="360"/>
      </w:pPr>
      <w:rPr>
        <w:rFonts w:hint="default"/>
        <w:lang w:val="en-US" w:eastAsia="en-US" w:bidi="ar-SA"/>
      </w:rPr>
    </w:lvl>
    <w:lvl w:ilvl="4" w:tplc="DB6E9458">
      <w:numFmt w:val="bullet"/>
      <w:lvlText w:val="•"/>
      <w:lvlJc w:val="left"/>
      <w:pPr>
        <w:ind w:left="4072" w:hanging="360"/>
      </w:pPr>
      <w:rPr>
        <w:rFonts w:hint="default"/>
        <w:lang w:val="en-US" w:eastAsia="en-US" w:bidi="ar-SA"/>
      </w:rPr>
    </w:lvl>
    <w:lvl w:ilvl="5" w:tplc="7994C936">
      <w:numFmt w:val="bullet"/>
      <w:lvlText w:val="•"/>
      <w:lvlJc w:val="left"/>
      <w:pPr>
        <w:ind w:left="4906" w:hanging="360"/>
      </w:pPr>
      <w:rPr>
        <w:rFonts w:hint="default"/>
        <w:lang w:val="en-US" w:eastAsia="en-US" w:bidi="ar-SA"/>
      </w:rPr>
    </w:lvl>
    <w:lvl w:ilvl="6" w:tplc="96525674">
      <w:numFmt w:val="bullet"/>
      <w:lvlText w:val="•"/>
      <w:lvlJc w:val="left"/>
      <w:pPr>
        <w:ind w:left="5739" w:hanging="360"/>
      </w:pPr>
      <w:rPr>
        <w:rFonts w:hint="default"/>
        <w:lang w:val="en-US" w:eastAsia="en-US" w:bidi="ar-SA"/>
      </w:rPr>
    </w:lvl>
    <w:lvl w:ilvl="7" w:tplc="02FA81AA">
      <w:numFmt w:val="bullet"/>
      <w:lvlText w:val="•"/>
      <w:lvlJc w:val="left"/>
      <w:pPr>
        <w:ind w:left="6572" w:hanging="360"/>
      </w:pPr>
      <w:rPr>
        <w:rFonts w:hint="default"/>
        <w:lang w:val="en-US" w:eastAsia="en-US" w:bidi="ar-SA"/>
      </w:rPr>
    </w:lvl>
    <w:lvl w:ilvl="8" w:tplc="C37AD614">
      <w:numFmt w:val="bullet"/>
      <w:lvlText w:val="•"/>
      <w:lvlJc w:val="left"/>
      <w:pPr>
        <w:ind w:left="7405" w:hanging="360"/>
      </w:pPr>
      <w:rPr>
        <w:rFonts w:hint="default"/>
        <w:lang w:val="en-US" w:eastAsia="en-US" w:bidi="ar-SA"/>
      </w:rPr>
    </w:lvl>
  </w:abstractNum>
  <w:abstractNum w:abstractNumId="1" w15:restartNumberingAfterBreak="0">
    <w:nsid w:val="27B7502B"/>
    <w:multiLevelType w:val="hybridMultilevel"/>
    <w:tmpl w:val="97D43E84"/>
    <w:lvl w:ilvl="0" w:tplc="B9E6633E">
      <w:start w:val="1"/>
      <w:numFmt w:val="decimal"/>
      <w:lvlText w:val="%1."/>
      <w:lvlJc w:val="left"/>
      <w:pPr>
        <w:ind w:left="450" w:hanging="428"/>
        <w:jc w:val="left"/>
      </w:pPr>
      <w:rPr>
        <w:rFonts w:ascii="Arial" w:eastAsia="Arial" w:hAnsi="Arial" w:cs="Arial" w:hint="default"/>
        <w:b/>
        <w:bCs/>
        <w:i w:val="0"/>
        <w:iCs w:val="0"/>
        <w:color w:val="B0006D"/>
        <w:spacing w:val="-1"/>
        <w:w w:val="100"/>
        <w:sz w:val="22"/>
        <w:szCs w:val="22"/>
        <w:lang w:val="en-US" w:eastAsia="en-US" w:bidi="ar-SA"/>
      </w:rPr>
    </w:lvl>
    <w:lvl w:ilvl="1" w:tplc="A0B49EA6">
      <w:numFmt w:val="bullet"/>
      <w:lvlText w:val="•"/>
      <w:lvlJc w:val="left"/>
      <w:pPr>
        <w:ind w:left="428" w:hanging="428"/>
      </w:pPr>
      <w:rPr>
        <w:rFonts w:ascii="Arial MT" w:eastAsia="Arial MT" w:hAnsi="Arial MT" w:cs="Arial MT" w:hint="default"/>
        <w:b w:val="0"/>
        <w:bCs w:val="0"/>
        <w:i w:val="0"/>
        <w:iCs w:val="0"/>
        <w:spacing w:val="0"/>
        <w:w w:val="100"/>
        <w:sz w:val="22"/>
        <w:szCs w:val="22"/>
        <w:lang w:val="en-US" w:eastAsia="en-US" w:bidi="ar-SA"/>
      </w:rPr>
    </w:lvl>
    <w:lvl w:ilvl="2" w:tplc="B018050E">
      <w:numFmt w:val="bullet"/>
      <w:lvlText w:val="•"/>
      <w:lvlJc w:val="left"/>
      <w:pPr>
        <w:ind w:left="880" w:hanging="428"/>
      </w:pPr>
      <w:rPr>
        <w:rFonts w:hint="default"/>
        <w:lang w:val="en-US" w:eastAsia="en-US" w:bidi="ar-SA"/>
      </w:rPr>
    </w:lvl>
    <w:lvl w:ilvl="3" w:tplc="57A497E2">
      <w:numFmt w:val="bullet"/>
      <w:lvlText w:val="•"/>
      <w:lvlJc w:val="left"/>
      <w:pPr>
        <w:ind w:left="1904" w:hanging="428"/>
      </w:pPr>
      <w:rPr>
        <w:rFonts w:hint="default"/>
        <w:lang w:val="en-US" w:eastAsia="en-US" w:bidi="ar-SA"/>
      </w:rPr>
    </w:lvl>
    <w:lvl w:ilvl="4" w:tplc="39B65F80">
      <w:numFmt w:val="bullet"/>
      <w:lvlText w:val="•"/>
      <w:lvlJc w:val="left"/>
      <w:pPr>
        <w:ind w:left="2928" w:hanging="428"/>
      </w:pPr>
      <w:rPr>
        <w:rFonts w:hint="default"/>
        <w:lang w:val="en-US" w:eastAsia="en-US" w:bidi="ar-SA"/>
      </w:rPr>
    </w:lvl>
    <w:lvl w:ilvl="5" w:tplc="217A8622">
      <w:numFmt w:val="bullet"/>
      <w:lvlText w:val="•"/>
      <w:lvlJc w:val="left"/>
      <w:pPr>
        <w:ind w:left="3952" w:hanging="428"/>
      </w:pPr>
      <w:rPr>
        <w:rFonts w:hint="default"/>
        <w:lang w:val="en-US" w:eastAsia="en-US" w:bidi="ar-SA"/>
      </w:rPr>
    </w:lvl>
    <w:lvl w:ilvl="6" w:tplc="4538F906">
      <w:numFmt w:val="bullet"/>
      <w:lvlText w:val="•"/>
      <w:lvlJc w:val="left"/>
      <w:pPr>
        <w:ind w:left="4976" w:hanging="428"/>
      </w:pPr>
      <w:rPr>
        <w:rFonts w:hint="default"/>
        <w:lang w:val="en-US" w:eastAsia="en-US" w:bidi="ar-SA"/>
      </w:rPr>
    </w:lvl>
    <w:lvl w:ilvl="7" w:tplc="00503B58">
      <w:numFmt w:val="bullet"/>
      <w:lvlText w:val="•"/>
      <w:lvlJc w:val="left"/>
      <w:pPr>
        <w:ind w:left="6000" w:hanging="428"/>
      </w:pPr>
      <w:rPr>
        <w:rFonts w:hint="default"/>
        <w:lang w:val="en-US" w:eastAsia="en-US" w:bidi="ar-SA"/>
      </w:rPr>
    </w:lvl>
    <w:lvl w:ilvl="8" w:tplc="1506FB30">
      <w:numFmt w:val="bullet"/>
      <w:lvlText w:val="•"/>
      <w:lvlJc w:val="left"/>
      <w:pPr>
        <w:ind w:left="7024" w:hanging="428"/>
      </w:pPr>
      <w:rPr>
        <w:rFonts w:hint="default"/>
        <w:lang w:val="en-US" w:eastAsia="en-US" w:bidi="ar-SA"/>
      </w:rPr>
    </w:lvl>
  </w:abstractNum>
  <w:num w:numId="1" w16cid:durableId="1351369743">
    <w:abstractNumId w:val="0"/>
  </w:num>
  <w:num w:numId="2" w16cid:durableId="14427988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D4A53"/>
    <w:rsid w:val="00041A26"/>
    <w:rsid w:val="000630C0"/>
    <w:rsid w:val="00065546"/>
    <w:rsid w:val="00096DEA"/>
    <w:rsid w:val="000D259C"/>
    <w:rsid w:val="00185B7E"/>
    <w:rsid w:val="00221076"/>
    <w:rsid w:val="002F2BBD"/>
    <w:rsid w:val="00585C07"/>
    <w:rsid w:val="00590939"/>
    <w:rsid w:val="00597BCA"/>
    <w:rsid w:val="006E51F3"/>
    <w:rsid w:val="007D296E"/>
    <w:rsid w:val="00817E43"/>
    <w:rsid w:val="008D4A53"/>
    <w:rsid w:val="00BC45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E2BB8"/>
  <w15:docId w15:val="{129B8997-3823-418A-9CB4-5286B37FD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450" w:hanging="427"/>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style>
  <w:style w:type="paragraph" w:styleId="Title">
    <w:name w:val="Title"/>
    <w:basedOn w:val="Normal"/>
    <w:uiPriority w:val="10"/>
    <w:qFormat/>
    <w:pPr>
      <w:spacing w:before="90"/>
      <w:ind w:left="1"/>
      <w:jc w:val="center"/>
    </w:pPr>
    <w:rPr>
      <w:rFonts w:ascii="Arial" w:eastAsia="Arial" w:hAnsi="Arial" w:cs="Arial"/>
      <w:b/>
      <w:bCs/>
      <w:sz w:val="28"/>
      <w:szCs w:val="28"/>
    </w:rPr>
  </w:style>
  <w:style w:type="paragraph" w:styleId="ListParagraph">
    <w:name w:val="List Paragraph"/>
    <w:basedOn w:val="Normal"/>
    <w:uiPriority w:val="1"/>
    <w:qFormat/>
    <w:pPr>
      <w:ind w:left="450" w:hanging="427"/>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2747</Words>
  <Characters>15660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CITB</Company>
  <LinksUpToDate>false</LinksUpToDate>
  <CharactersWithSpaces>18371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Barnes</dc:creator>
  <cp:lastModifiedBy>Bethan Boland</cp:lastModifiedBy>
  <cp:revision>3</cp:revision>
  <dcterms:created xsi:type="dcterms:W3CDTF">2025-09-24T09:45:00Z</dcterms:created>
  <dcterms:modified xsi:type="dcterms:W3CDTF">2025-09-24T09:46:00Z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2025-09-17T00:00:00Z</vt:filetime>
  </property>
  <property fmtid="{D5CDD505-2E9C-101B-9397-08002B2CF9AE}" pid="3" name="Creator">
    <vt:lpwstr>Microsoft® Word for Microsoft 365</vt:lpwstr>
  </property>
  <property fmtid="{D5CDD505-2E9C-101B-9397-08002B2CF9AE}" pid="4" name="LastSaved">
    <vt:filetime>2025-09-24T00:00:00Z</vt:filetime>
  </property>
  <property fmtid="{D5CDD505-2E9C-101B-9397-08002B2CF9AE}" pid="5" name="Producer">
    <vt:lpwstr>Microsoft® Word for Microsoft 365</vt:lpwstr>
  </property>
</Properties>
</file>